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75660AD8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E642C5">
              <w:rPr>
                <w:rFonts w:asciiTheme="minorHAnsi" w:hAnsiTheme="minorHAnsi"/>
                <w:b/>
              </w:rPr>
              <w:t>SEPTIEMBRE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5E8F6EFB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</w:t>
            </w:r>
            <w:r w:rsidR="00D55032">
              <w:rPr>
                <w:rFonts w:asciiTheme="minorHAnsi" w:hAnsiTheme="minorHAnsi"/>
                <w:b/>
              </w:rPr>
              <w:t>1,</w:t>
            </w:r>
            <w:r w:rsidR="00E642C5">
              <w:rPr>
                <w:rFonts w:asciiTheme="minorHAnsi" w:hAnsiTheme="minorHAnsi"/>
                <w:b/>
              </w:rPr>
              <w:t>943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E642C5">
              <w:rPr>
                <w:rFonts w:asciiTheme="minorHAnsi" w:hAnsiTheme="minorHAnsi"/>
                <w:b/>
              </w:rPr>
              <w:t>225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E642C5">
              <w:rPr>
                <w:rFonts w:asciiTheme="minorHAnsi" w:hAnsiTheme="minorHAnsi"/>
                <w:b/>
              </w:rPr>
              <w:t>346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03D6D2FA" w:rsidR="004B5012" w:rsidRPr="004244FE" w:rsidRDefault="00DA459D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642C5">
              <w:rPr>
                <w:rFonts w:asciiTheme="minorHAnsi" w:hAnsiTheme="minorHAnsi"/>
              </w:rPr>
              <w:t>49</w:t>
            </w:r>
            <w:r w:rsidR="00C73EBE">
              <w:rPr>
                <w:rFonts w:asciiTheme="minorHAnsi" w:hAnsiTheme="minorHAnsi"/>
              </w:rPr>
              <w:t>,</w:t>
            </w:r>
            <w:r w:rsidR="00E642C5">
              <w:rPr>
                <w:rFonts w:asciiTheme="minorHAnsi" w:hAnsiTheme="minorHAnsi"/>
              </w:rPr>
              <w:t>904</w:t>
            </w:r>
            <w:r w:rsidR="00ED694E">
              <w:rPr>
                <w:rFonts w:asciiTheme="minorHAnsi" w:hAnsiTheme="minorHAnsi"/>
              </w:rPr>
              <w:t>,</w:t>
            </w:r>
            <w:r w:rsidR="00E642C5">
              <w:rPr>
                <w:rFonts w:asciiTheme="minorHAnsi" w:hAnsiTheme="minorHAnsi"/>
              </w:rPr>
              <w:t>021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47249039" w:rsidR="00B56EA6" w:rsidRDefault="00DA459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E642C5">
              <w:rPr>
                <w:rFonts w:asciiTheme="minorHAnsi" w:hAnsiTheme="minorHAnsi"/>
                <w:color w:val="000000"/>
              </w:rPr>
              <w:t>693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E642C5">
              <w:rPr>
                <w:rFonts w:asciiTheme="minorHAnsi" w:hAnsiTheme="minorHAnsi"/>
                <w:color w:val="000000"/>
              </w:rPr>
              <w:t>321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 w:rsidR="00E642C5">
              <w:rPr>
                <w:rFonts w:asciiTheme="minorHAnsi" w:hAnsiTheme="minorHAnsi"/>
                <w:color w:val="000000"/>
              </w:rPr>
              <w:t>325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393EE162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E642C5">
              <w:rPr>
                <w:b/>
                <w:bCs/>
              </w:rPr>
              <w:t>SEPTIEMBRE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3D3F6917" w:rsidR="00FA0199" w:rsidRDefault="00D55032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686DD4">
              <w:rPr>
                <w:rFonts w:asciiTheme="minorHAnsi" w:hAnsiTheme="minorHAnsi"/>
                <w:b/>
                <w:bCs/>
              </w:rPr>
              <w:t>896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686DD4">
              <w:rPr>
                <w:rFonts w:asciiTheme="minorHAnsi" w:hAnsiTheme="minorHAnsi"/>
                <w:b/>
                <w:bCs/>
              </w:rPr>
              <w:t>228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686DD4">
              <w:rPr>
                <w:rFonts w:asciiTheme="minorHAnsi" w:hAnsiTheme="minorHAnsi"/>
                <w:b/>
                <w:bCs/>
              </w:rPr>
              <w:t>594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2087589A" w:rsidR="002C1BFC" w:rsidRDefault="00686DD4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937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231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 w:rsidR="00C52F63">
              <w:rPr>
                <w:rFonts w:asciiTheme="minorHAnsi" w:hAnsiTheme="minorHAnsi"/>
                <w:color w:val="000000"/>
              </w:rPr>
              <w:t>6</w:t>
            </w:r>
            <w:r>
              <w:rPr>
                <w:rFonts w:asciiTheme="minorHAnsi" w:hAnsiTheme="minorHAnsi"/>
                <w:color w:val="000000"/>
              </w:rPr>
              <w:t>6</w:t>
            </w:r>
            <w:r w:rsidR="00C52F63">
              <w:rPr>
                <w:rFonts w:asciiTheme="minorHAnsi" w:hAnsiTheme="minorHAnsi"/>
                <w:color w:val="000000"/>
              </w:rPr>
              <w:t>0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0423C50C" w:rsidR="00B56EA6" w:rsidRPr="00182568" w:rsidRDefault="00686DD4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616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339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596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110FDAE7" w:rsidR="008B0BE9" w:rsidRDefault="00D55032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686DD4">
              <w:rPr>
                <w:rFonts w:asciiTheme="minorHAnsi" w:hAnsiTheme="minorHAnsi"/>
                <w:color w:val="000000"/>
              </w:rPr>
              <w:t>89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 w:rsidR="00686DD4">
              <w:rPr>
                <w:rFonts w:asciiTheme="minorHAnsi" w:hAnsiTheme="minorHAnsi"/>
                <w:color w:val="000000"/>
              </w:rPr>
              <w:t>880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686DD4">
              <w:rPr>
                <w:rFonts w:asciiTheme="minorHAnsi" w:hAnsiTheme="minorHAnsi"/>
                <w:color w:val="000000"/>
              </w:rPr>
              <w:t>705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1011999C" w:rsidR="004B5012" w:rsidRDefault="00C52F63" w:rsidP="00446E09">
            <w:pPr>
              <w:jc w:val="right"/>
            </w:pPr>
            <w:r>
              <w:t>1</w:t>
            </w:r>
            <w:r w:rsidR="00686DD4">
              <w:t>52</w:t>
            </w:r>
            <w:r w:rsidR="00901825">
              <w:t>,</w:t>
            </w:r>
            <w:r w:rsidR="00686DD4">
              <w:t>776</w:t>
            </w:r>
            <w:r w:rsidR="00901825">
              <w:t>,</w:t>
            </w:r>
            <w:r w:rsidR="00686DD4">
              <w:t>633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F4A3C" w14:textId="77777777" w:rsidR="00253A8E" w:rsidRDefault="00253A8E" w:rsidP="007721AD">
      <w:r>
        <w:separator/>
      </w:r>
    </w:p>
  </w:endnote>
  <w:endnote w:type="continuationSeparator" w:id="0">
    <w:p w14:paraId="3305FECF" w14:textId="77777777" w:rsidR="00253A8E" w:rsidRDefault="00253A8E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F7DA4" w14:textId="77777777" w:rsidR="00253A8E" w:rsidRDefault="00253A8E" w:rsidP="007721AD">
      <w:r>
        <w:separator/>
      </w:r>
    </w:p>
  </w:footnote>
  <w:footnote w:type="continuationSeparator" w:id="0">
    <w:p w14:paraId="7192277C" w14:textId="77777777" w:rsidR="00253A8E" w:rsidRDefault="00253A8E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52F63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42C5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39</cp:revision>
  <cp:lastPrinted>2017-10-30T20:18:00Z</cp:lastPrinted>
  <dcterms:created xsi:type="dcterms:W3CDTF">2020-07-20T15:56:00Z</dcterms:created>
  <dcterms:modified xsi:type="dcterms:W3CDTF">2022-10-20T15:05:00Z</dcterms:modified>
</cp:coreProperties>
</file>