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proofErr w:type="gramStart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</w:t>
      </w:r>
      <w:proofErr w:type="gramEnd"/>
      <w:r w:rsidR="00E367B3" w:rsidRPr="00E005DA">
        <w:rPr>
          <w:rFonts w:ascii="Segoe UI Light" w:hAnsi="Segoe UI Light"/>
          <w:b/>
          <w:sz w:val="24"/>
          <w:szCs w:val="24"/>
        </w:rPr>
        <w:t xml:space="preserve">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42137141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8B0BE9">
              <w:rPr>
                <w:rFonts w:asciiTheme="minorHAnsi" w:hAnsiTheme="minorHAnsi"/>
                <w:b/>
              </w:rPr>
              <w:t>ABRIL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6E9F4E69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8B0BE9">
              <w:rPr>
                <w:rFonts w:asciiTheme="minorHAnsi" w:hAnsiTheme="minorHAnsi"/>
                <w:b/>
              </w:rPr>
              <w:t>691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8B0BE9">
              <w:rPr>
                <w:rFonts w:asciiTheme="minorHAnsi" w:hAnsiTheme="minorHAnsi"/>
                <w:b/>
              </w:rPr>
              <w:t>684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8B0BE9">
              <w:rPr>
                <w:rFonts w:asciiTheme="minorHAnsi" w:hAnsiTheme="minorHAnsi"/>
                <w:b/>
              </w:rPr>
              <w:t>445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298EFF23" w:rsidR="004B5012" w:rsidRPr="004244FE" w:rsidRDefault="008B0BE9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435</w:t>
            </w:r>
            <w:r w:rsidR="00ED694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098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34AF5BE7" w:rsidR="00B56EA6" w:rsidRDefault="008B0BE9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249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347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5FEA71FE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8B0BE9" w:rsidRPr="008B0BE9">
              <w:rPr>
                <w:b/>
                <w:bCs/>
              </w:rPr>
              <w:t>ABRIL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1614AB74" w:rsidR="00FA0199" w:rsidRDefault="008B0BE9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676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624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049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24FAD5E4" w:rsidR="002C1BFC" w:rsidRDefault="008B0BE9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384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532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003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61F784A3" w:rsidR="00B56EA6" w:rsidRPr="00182568" w:rsidRDefault="00901825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8B0BE9">
              <w:rPr>
                <w:rFonts w:asciiTheme="minorHAnsi" w:hAnsiTheme="minorHAnsi"/>
                <w:color w:val="000000"/>
              </w:rPr>
              <w:t>78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 w:rsidR="008B0BE9">
              <w:rPr>
                <w:rFonts w:asciiTheme="minorHAnsi" w:hAnsiTheme="minorHAnsi"/>
                <w:color w:val="000000"/>
              </w:rPr>
              <w:t>912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 w:rsidR="008B0BE9">
              <w:rPr>
                <w:rFonts w:asciiTheme="minorHAnsi" w:hAnsiTheme="minorHAnsi"/>
                <w:color w:val="000000"/>
              </w:rPr>
              <w:t>596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295A6D5A" w:rsidR="008B0BE9" w:rsidRDefault="008B0BE9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67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718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232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0F682B2" w14:textId="1A564DA9" w:rsidR="004B5012" w:rsidRDefault="004B5012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64292242" w:rsidR="004B5012" w:rsidRDefault="008B0BE9" w:rsidP="00446E09">
            <w:pPr>
              <w:jc w:val="right"/>
            </w:pPr>
            <w:r>
              <w:t>4</w:t>
            </w:r>
            <w:r w:rsidR="00901825">
              <w:t>5,</w:t>
            </w:r>
            <w:r>
              <w:t>461</w:t>
            </w:r>
            <w:r w:rsidR="00901825">
              <w:t>,</w:t>
            </w:r>
            <w:r>
              <w:t>218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E9BD" w14:textId="77777777" w:rsidR="00B6544B" w:rsidRDefault="00B6544B" w:rsidP="007721AD">
      <w:r>
        <w:separator/>
      </w:r>
    </w:p>
  </w:endnote>
  <w:endnote w:type="continuationSeparator" w:id="0">
    <w:p w14:paraId="1148A5BB" w14:textId="77777777" w:rsidR="00B6544B" w:rsidRDefault="00B6544B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521BF" w14:textId="77777777" w:rsidR="00B6544B" w:rsidRDefault="00B6544B" w:rsidP="007721AD">
      <w:r>
        <w:separator/>
      </w:r>
    </w:p>
  </w:footnote>
  <w:footnote w:type="continuationSeparator" w:id="0">
    <w:p w14:paraId="20FAD0EA" w14:textId="77777777" w:rsidR="00B6544B" w:rsidRDefault="00B6544B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C1BFC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34</cp:revision>
  <cp:lastPrinted>2017-10-30T20:18:00Z</cp:lastPrinted>
  <dcterms:created xsi:type="dcterms:W3CDTF">2020-07-20T15:56:00Z</dcterms:created>
  <dcterms:modified xsi:type="dcterms:W3CDTF">2022-05-18T19:29:00Z</dcterms:modified>
</cp:coreProperties>
</file>